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left"/>
        <w:rPr>
          <w:rStyle w:val="5"/>
          <w:rFonts w:hint="eastAsia" w:ascii="仿宋_GB2312" w:hAnsi="仿宋_GB2312" w:eastAsia="仿宋_GB2312" w:cs="仿宋_GB2312"/>
          <w:b w:val="0"/>
          <w:bCs/>
          <w:i w:val="0"/>
          <w:iCs w:val="0"/>
          <w:caps w:val="0"/>
          <w:color w:val="000000"/>
          <w:spacing w:val="0"/>
          <w:sz w:val="28"/>
          <w:szCs w:val="28"/>
          <w:shd w:val="clear" w:fill="FFFFFF"/>
          <w:lang w:val="en-US" w:eastAsia="zh-CN"/>
        </w:rPr>
      </w:pPr>
      <w:r>
        <w:rPr>
          <w:rStyle w:val="5"/>
          <w:rFonts w:hint="eastAsia" w:ascii="仿宋_GB2312" w:hAnsi="仿宋_GB2312" w:eastAsia="仿宋_GB2312" w:cs="仿宋_GB2312"/>
          <w:b w:val="0"/>
          <w:bCs/>
          <w:i w:val="0"/>
          <w:iCs w:val="0"/>
          <w:caps w:val="0"/>
          <w:color w:val="000000"/>
          <w:spacing w:val="0"/>
          <w:sz w:val="28"/>
          <w:szCs w:val="28"/>
          <w:shd w:val="clear" w:fill="FFFFFF"/>
          <w:lang w:eastAsia="zh-CN"/>
        </w:rPr>
        <w:t>附件</w:t>
      </w:r>
      <w:r>
        <w:rPr>
          <w:rStyle w:val="5"/>
          <w:rFonts w:hint="eastAsia" w:ascii="仿宋_GB2312" w:hAnsi="仿宋_GB2312" w:eastAsia="仿宋_GB2312" w:cs="仿宋_GB2312"/>
          <w:b w:val="0"/>
          <w:bCs/>
          <w:i w:val="0"/>
          <w:iCs w:val="0"/>
          <w:caps w:val="0"/>
          <w:color w:val="000000"/>
          <w:spacing w:val="0"/>
          <w:sz w:val="28"/>
          <w:szCs w:val="28"/>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center"/>
        <w:rPr>
          <w:rStyle w:val="5"/>
          <w:rFonts w:hint="eastAsia" w:ascii="微软雅黑" w:hAnsi="微软雅黑" w:eastAsia="微软雅黑" w:cs="微软雅黑"/>
          <w:i w:val="0"/>
          <w:iCs w:val="0"/>
          <w:caps w:val="0"/>
          <w:color w:val="000000"/>
          <w:spacing w:val="0"/>
          <w:sz w:val="36"/>
          <w:szCs w:val="36"/>
          <w:shd w:val="clear" w:fill="FFFFFF"/>
        </w:rPr>
      </w:pPr>
      <w:r>
        <w:rPr>
          <w:rStyle w:val="5"/>
          <w:rFonts w:hint="eastAsia" w:ascii="微软雅黑" w:hAnsi="微软雅黑" w:eastAsia="微软雅黑" w:cs="微软雅黑"/>
          <w:i w:val="0"/>
          <w:iCs w:val="0"/>
          <w:caps w:val="0"/>
          <w:color w:val="000000"/>
          <w:spacing w:val="0"/>
          <w:sz w:val="36"/>
          <w:szCs w:val="36"/>
          <w:shd w:val="clear" w:fill="FFFFFF"/>
        </w:rPr>
        <w:t>2024年度国家自然科学基金企业创新发展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eastAsia" w:ascii="微软雅黑" w:hAnsi="微软雅黑" w:eastAsia="微软雅黑" w:cs="微软雅黑"/>
          <w:i w:val="0"/>
          <w:iCs w:val="0"/>
          <w:caps w:val="0"/>
          <w:color w:val="000000"/>
          <w:spacing w:val="0"/>
          <w:sz w:val="36"/>
          <w:szCs w:val="36"/>
          <w:shd w:val="clear" w:fill="FFFFFF"/>
        </w:rPr>
        <w:t>联合基金项目指南（第二批）</w:t>
      </w:r>
      <w:r>
        <w:rPr>
          <w:rFonts w:hint="eastAsia" w:ascii="微软雅黑" w:hAnsi="微软雅黑" w:eastAsia="微软雅黑" w:cs="微软雅黑"/>
          <w:i w:val="0"/>
          <w:iCs w:val="0"/>
          <w:caps w:val="0"/>
          <w:color w:val="000000"/>
          <w:spacing w:val="0"/>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微软雅黑" w:hAnsi="微软雅黑" w:eastAsia="微软雅黑" w:cs="微软雅黑"/>
          <w:i w:val="0"/>
          <w:iCs w:val="0"/>
          <w:caps w:val="0"/>
          <w:color w:val="000000"/>
          <w:spacing w:val="0"/>
          <w:sz w:val="25"/>
          <w:szCs w:val="25"/>
          <w:shd w:val="clear" w:fill="FFFFFF"/>
        </w:rPr>
        <w:t>　　</w:t>
      </w:r>
      <w:r>
        <w:rPr>
          <w:rFonts w:hint="eastAsia" w:ascii="宋体" w:hAnsi="宋体" w:eastAsia="宋体" w:cs="宋体"/>
          <w:i w:val="0"/>
          <w:iCs w:val="0"/>
          <w:caps w:val="0"/>
          <w:color w:val="000000"/>
          <w:spacing w:val="0"/>
          <w:sz w:val="30"/>
          <w:szCs w:val="30"/>
          <w:shd w:val="clear" w:fill="FFFFFF"/>
          <w:lang w:val="en-US" w:eastAsia="zh-CN"/>
        </w:rPr>
        <w:t xml:space="preserve"> </w:t>
      </w:r>
      <w:r>
        <w:rPr>
          <w:rFonts w:hint="eastAsia" w:ascii="宋体" w:hAnsi="宋体" w:eastAsia="宋体" w:cs="宋体"/>
          <w:i w:val="0"/>
          <w:iCs w:val="0"/>
          <w:caps w:val="0"/>
          <w:color w:val="000000"/>
          <w:spacing w:val="0"/>
          <w:sz w:val="30"/>
          <w:szCs w:val="30"/>
          <w:bdr w:val="none" w:color="auto" w:sz="0" w:space="0"/>
          <w:shd w:val="clear" w:fill="FFFFFF"/>
        </w:rPr>
        <w:t>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2024年度，试点企业创新发展联合基金申请时不计入申请和承担项目总数范围，正式接收申请后计入。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2024年度企业创新发展联合基金（第二批）以重点支持项目或集成项目的形式予以资助，资助期限均为4年。其中重点支持项目的直接费用平均资助强度约为260万元/项，集成项目的直接费用平均资助强度为1000万元/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602" w:firstLineChars="200"/>
        <w:jc w:val="both"/>
        <w:rPr>
          <w:rFonts w:hint="eastAsia" w:ascii="宋体" w:hAnsi="宋体" w:eastAsia="宋体" w:cs="宋体"/>
          <w:i w:val="0"/>
          <w:iCs w:val="0"/>
          <w:caps w:val="0"/>
          <w:color w:val="000000"/>
          <w:spacing w:val="0"/>
          <w:sz w:val="30"/>
          <w:szCs w:val="30"/>
        </w:rPr>
      </w:pPr>
      <w:r>
        <w:rPr>
          <w:rStyle w:val="5"/>
          <w:rFonts w:hint="eastAsia" w:ascii="宋体" w:hAnsi="宋体" w:eastAsia="宋体" w:cs="宋体"/>
          <w:i w:val="0"/>
          <w:iCs w:val="0"/>
          <w:caps w:val="0"/>
          <w:color w:val="000000"/>
          <w:spacing w:val="0"/>
          <w:sz w:val="30"/>
          <w:szCs w:val="30"/>
          <w:bdr w:val="none" w:color="auto" w:sz="0" w:space="0"/>
          <w:shd w:val="clear" w:fill="FFFFFF"/>
        </w:rPr>
        <w:t>领域和主要研究方向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（一）能源与化工领域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集成项目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国家能源投资集团有限责任公司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产物精准调控的分子尺度煤基油品加氢催化反应路径及机理研究（申请代码1选择B08的下属代码）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针对不同分子结构特征的煤基油品设计可精准调控目标产物的催化剂体系，在原子级别上合理设计和调控活性位点的结构、化学性质和微环境，在分子水平上揭示反应机理，提高催化反应活性和产品选择性。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（1）催化剂表面化学结构变化与活性、选择性的关系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催化剂表面化学结构动态变化、局部化学结构与体相结构差异产生的表面势能变化规律、表面化学反应的过程和机制，揭示活性位点的反应特性，确定催化剂的结构-性能关系，在分子水平上，揭示煤基油品催化反应本征动力学和反应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（2）金属相活性中心与酸性活性中心协同效应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煤基油品和目标产物特点，研究载体结构微观调控改变催化剂酸性中心类型和强度的规律，揭示金属相与载体微环境变化对扩散、吸附、表面反应、脱附的影响，从电子效应层面阐述金属相结构、助剂和载体协同作用，研究酸性和金属性的匹配，为开发适应不同煤基油品的高效加氢催化剂提供科学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（3）高通量机器人实验及人工智能设计筛选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针对煤基油品加氢催化反应，开展高通量机器人小型实验，用于不同煤基油品催化材料开发。开发人工智能模型，通过多实验目标优化，在分子尺度对煤基油品产物精准调控，实现催化材料高通量筛选。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本项目申请应同时包含上述3项研究内容，紧密围绕主题“产物精准调控的分子尺度煤基油品加氢催化反应路径及机理研究”开展深入系统研究，成果应包括原理、方法、技术以及实验成果等。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国家能源投资集团有限责任公司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等离子体与催化剂材料耦合增强CO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活化还原技术研究（申请代码1选择B08的下属代码）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研究等离子体与催化材料耦合增强作用，揭示等离子体强化CO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分子活化还原制CO的反应机理，确定降低反应活化能、提高能量利用率的路径。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费托合成油正构烷烃制烯烃及内烯烃转化制α-烯烃催化剂研究（申请代码1选择B08的下属代码）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围绕高效费托合成油正构烷烃脱氢制烯烃及内烯烃转化制α-烯烃催化剂开发，采用原位表征技术研究催化剂表面活性中心的原子配位结构、电子性质及微环境，揭示活性位点反应机制，构建催化转化反应网络，确定催化剂的构效关系，指导分子水平上的催化剂理性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3. 富油煤分子结构及直接液化反应机理研究（申请代码1选择B08的下属代码）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建立富油煤及其显微组分的分子结构模型，研究显微组分的键合结构断键规律、自由基及中间产物的演化历程，揭示沥青质加氢反应行为及产物调控机制，确定煤的组成结构-显微组分-工艺条件-产品分布的内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4. 煤液化沥青制备中间相沥青碳纤维原料机理研究（申请代码1选择B08的下属代码）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煤液化沥青制备中间相沥青碳纤维的过程中，煤液化沥青及可纺中间相沥青的指纹特征，阐明沥青特性与纤维性能之间的本征关系，构建煤液化沥青及中间相可纺沥青的结构模型，揭示中间相沥青微观特性的演变机理，为煤液化沥青基碳纤维的制备提供理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5. 深部煤炭地下气化与气化腔封存CO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机理研究（申请代码1选择E04的下属代码）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研究深部煤炭地下气化多相反应、产物富集及迁移规律、长期稳定产气控制因素，揭示多场耦合条件下气化腔空间演化特征及控制机理，阐明气化腔CO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封存与地质响应相互作用规律。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6. 干热岩储层改造力学作用机制及控缝控震机理研究（申请代码1选择E04的下属代码）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构建高温高压作用下干热岩损伤本构模型，研究温度与应力耦合作用下干热岩应力腐蚀效应及疲劳劣化机理，揭示干热岩储层改造过程力学特性演化特征、储层改造诱发地震的力学机制，分析流体压力变化、压裂裂隙扩展和储层岩石破裂等因素对诱发地震的影响规律，提出储层改造诱发地震控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7. 井工煤矿超低浓度甲烷吸收/吸附新材料及机理研究（申请代码1选择E04的下属代码）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研究适用于井工煤矿总回风流高湿高尘条件超低浓度甲烷吸收/吸附新材料，揭示超低浓度甲烷吸收-解析和吸附-脱附机理，构建超低浓度甲烷低成本处置利用方法。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8. 松软低透气性高突煤层顶底板长距离水平井穿层压裂增透机理及抽采工艺研究（申请代码1选择E04的下属代码）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非均质煤-岩层组合结构水力压裂裂缝跨质扩展规律，揭示松软低透气性高突煤层顶底板长距离水平井穿层压裂增透机理，构建增透裂缝空间网络模型，提出复合压裂均衡增透技术及抽采工艺，建立松软低渗透煤层立体增透效果评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9. 厚层松软含水/隔水层复合顶板开采溃水溃泥机制及防治技术研究（申请代码1选择E04的下属代码）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分析厚层松软含水/隔水层沉积环境特征，研究采动条件下弱胶结厚层松软覆岩破断及动态演化机理，揭示溃涌通道裂隙分布、泥水运移规律及溃涌启动条件，建立危害性评价模型和评价机制，提出厚层松软含水/隔水层复合顶板开采溃水溃泥灾害防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10. 高强度开采条件下顶板动力灾害致灾机理及智能监测预警方法研究（申请代码1选择E04的下属代码）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高强度开采条件下采场覆岩断裂失稳特征，揭示高强度开采扰动下煤岩体结构的动力响应规律及顶板动力灾害致灾机理，明确高强度开采条件下顶板动力灾害先兆信息，提出基于先兆信息的人工智能顶板动力灾害监测预警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11. 电解制氢过程多相/多场/多时间-空间尺度耦合规律和仿真技术研究（申请代码1选择E06的下属代码）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电解制氢过程多时间尺度、多空间尺度电解堆器件的电、热、质等多物理场耦合规律，聚焦电极气液固三相界面的可控构筑、失效模式与衰变诱因，以及工质流型动态可视化和失稳模式，构建大尺寸高精度电解堆三维仿真模型，用于指导状态诊断与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12. 千万千瓦级新能源基地综合能源容量规划、仿真技术与调控规律研究（申请代码1选择E06的下属代码）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风光火等互补的动态发电功率预测方法，建立新能源基地发电和储能系统的高精度仿真模型，提出新能源基地容量规划与优化方法；研究风光火储氢等多能互补的协同规律，提出源网荷储一体化新能源系统调控策略和经济运行模式，实现零弃风弃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13. 面向太阳能高效利用的超高温固体介质储热材料基础研究（申请代码1选择E06的下属代码）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探索适用于下一代太阳能高效利用的超高温固体介质储/释热体系；揭示储热材料吸收光谱匹配性，储/释热循环过程中材料微观演变机理；开发适合非密封环境、易于规模化、高安全、长寿命的超高温固体介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14. 高效高惯性常数飞轮同步调相机的设计与控制方法（申请代码1选择E06的下属代码）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构建飞轮同步调相机系统的动态运行模型，研究大转差率下的飞轮电磁驱动结构与控制原理，揭示“高速惯量飞轮-同步调相机”的机电-电磁序贯响应特性，提出真空高速惯量飞轮与大气常压同步调相机的融合方法，形成飞轮同步调相电机的惯量支撑与有功/无功协调运行控制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15. 煤掺氢/氨清洁高效燃烧机理研究（申请代码1选择E06的下属代码）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煤掺氢/氨燃料的多组分混合、多场耦合燃烧特性与反应机理，揭示混合燃料着火-燃烧-燃尽规律及混燃过程污染物生成机制，构建煤掺氢/氨燃烧简化反应机理模型、污染物生成预测模型，开发大尺度全炉膛多源燃料混燃的高精度数值模拟方法，建立多源燃料混燃的清洁高效燃烧组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16. 高性能CO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煤基物理吸附材料研究（申请代码1选择E06的下属代码）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面向燃煤电厂烟气碳捕集，开展高性能CO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煤基物理吸附材料的孔隙结构与表面官能团定向设计研究，明确二者精准调控优化策略，阐明该吸附材料对CO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吸脱附影响机制，揭示煤电烟气中典型杂质对材料性能的影响规律与作用机理，提出抗污型低能耗CO</w:t>
      </w:r>
      <w:r>
        <w:rPr>
          <w:rFonts w:hint="eastAsia" w:ascii="宋体" w:hAnsi="宋体" w:eastAsia="宋体" w:cs="宋体"/>
          <w:i w:val="0"/>
          <w:iCs w:val="0"/>
          <w:caps w:val="0"/>
          <w:color w:val="000000"/>
          <w:spacing w:val="0"/>
          <w:sz w:val="30"/>
          <w:szCs w:val="30"/>
          <w:bdr w:val="none" w:color="auto" w:sz="0" w:space="0"/>
          <w:shd w:val="clear" w:fill="FFFFFF"/>
          <w:vertAlign w:val="subscript"/>
        </w:rPr>
        <w:t>2</w:t>
      </w:r>
      <w:r>
        <w:rPr>
          <w:rFonts w:hint="eastAsia" w:ascii="宋体" w:hAnsi="宋体" w:eastAsia="宋体" w:cs="宋体"/>
          <w:i w:val="0"/>
          <w:iCs w:val="0"/>
          <w:caps w:val="0"/>
          <w:color w:val="000000"/>
          <w:spacing w:val="0"/>
          <w:sz w:val="30"/>
          <w:szCs w:val="30"/>
          <w:bdr w:val="none" w:color="auto" w:sz="0" w:space="0"/>
          <w:shd w:val="clear" w:fill="FFFFFF"/>
        </w:rPr>
        <w:t>煤基物理吸附材料制备方案。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17. 三北地区构网型储能支撑高比例新能源并网稳定运行技术研究（申请代码1选择E07的下属代码）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三北地区高比例新能源并网稳定问题，研究构网型储能支撑高比例新能源并网稳定运行机理及对系统暂稳态特性影响规律，揭示海量电力电子设备间及其与电网间的交互与震荡机制，建立设备间、设备与系统间阻抗的动态辨识、预测及重构理论方法，提出不同类型构网型储能在极端天气和故障条件下的震荡抑制、主动支撑控制理论与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18. 大型变速抽水蓄能机组宽幅宽频稳定运行及主动支撑电网控制策略（申请代码1选择E09的下属代码）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针对大型双馈变速抽水蓄能机组，研究机组宽幅宽频运行损伤机理及优化设计，提出机组多物理场耦合分析及过渡过程控制策略，构建接入电网适应性评价方法及系统稳定支撑技术。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（二）电子信息领域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中国联合网络通信有限公司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基于多模态融合的车路云一体化交通环境感知关键技术（申请代码1选择F01的下属代码）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车、路、云在内的多智能体间感知协同能力欠缺、交通场景感知精度不足，开展多智能体之间感知能力互操作架构和模型研究，并研发多种基于多模态融合的交通场景感知算法，构建场景分析、提取、存储以及数据应用的实时、智能感知处理闭环系统，并进行实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面向工业控制领域的5G-A/6G超高可靠低时延网络架构与关键技术研究（申请代码1选择F01的下属代码）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工业控制领域5G-A/6G超高可靠超低时延的挑战，研究跨域系统整合和协议设计，以实现无线有线融合的资源优化；研究工业以太网协议和通信协议的融合，促进不同工业设备和通信系统之间的无缝通信；研究亚毫秒级时延和7个9的超高可靠性的关键技术，攻关通信协议优化和系统架构调整方案，并进行仿真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3. 面向超宽带光网络的数字孪生建模和自优化研究（申请代码1选择F01的下属代码）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高速传输系统中精细管理以及性能优化需求，基于人工智能技术，面向大规模、多波段、超高速的光网络，研究综合网络、传输系统、业务的跨层级数字孪生模型，提出自优化算法和管理机制，进行测试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4. 通感一体光网络理论和技术研究（申请代码1选择F01的下属代码）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通信网络通感深度融合发展的需求，研究通感一体化光通信理论，构建集高速传输和多维感知一体的信道模型，提出通感功能串扰抑制方法与动态通感调控机理，设计支持多点协同的感知机制和控制协议，支持多场景兼容的感知能力增强，开发原型系统并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5. 光与毫米波融合的新型宽带接入技术研究（申请代码1选择F01的下属代码）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面向未来室内超高带宽接入需求，研究光与无线深度融合的宽带接入理论与技术，提出光与毫米波融合传输信道模型，形成融合通信自动优化算法，针对高通量、低延时等场景，进行仿真和实验验证。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6. 面向6G多样化应用的分布式智简网络技术研究（申请代码1选择 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面向6G多样化应用的分布式智简网络架构、协议体系和关键技术，包括去中心化可信分布式网络架构、网络功能重构和接口简化协议、分布式子网协同和智能自治机制、用户需求感知和用户意图解析等关键技术，构建6G分布式智简网络原型，开展典型应用场景下的理论验证与性能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7. 5G-A/6G智能超表面协同技术研究（申请代码1选择F01的下属代码）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智能超表面在远场和近场条件下信道估计与波束赋形技术，开展对比分析和仿真验证，提升智能超表面精准实时动态调控波束能力；研究智能超表面组网方案和干扰控制技术，提升网络质量和性能；研究智能超表面低成本、极低功耗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8. 面向高频通信的大规模天线与通感一体关键技术研究（申请代码1选择F01的下属代码）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基于超大规模天线阵列高频基站波束管理等覆盖增强技术及智能节能方法，构建智能绿色高频基站原型；针对多频段、多节点、多感知系统协同通感融合网络中的干扰问题，研究干扰及资源分配最优化理论，开展复杂环境下组网方案及技术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9. 未来网络智能内生理论与关键技术研究（申请代码1选择F01或F02的下属代码）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智能内生的固移网络一体化架构与技术体系，构建网元层和网络层的智能体，研究多智能体之间协作、决策与进化机制，建立网络控制面与转发面的多智能体大模型，提升路由决策、网络管理、流量分类和识别的智能化水平，基于承载网和核心网开展理论验证和性能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10. IPv6网络内生安全技术研究（申请代码1选择F01或F02的下属代码）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探索IPv6与AI、区块链等技术融合的网络安全机制，研究IPv6网络的风险检测与识别、主动安全防御、数据安全传输等关键技术，形成网络-数据-业务一体化的IPv6网络内生安全技术体系，并开展实验验证。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11. 6G新型融合网络的安全关键技术（申请代码1选择F02的下属代码）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6G网络架构演进、业务类型多样化以及人工智能、量子计算等新技术应用带来的新安全风险，探索6G网络的安全威胁新模式，设计通用、可演进的6G网络安全架构，研究适应于6G新型异构网络的安全关键技术以及面向天地融合等新场景的安全方案，推动6G安全与业务的全面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12. 未来互联网技术体系研究（申请代码1选择F02的下属代码）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新型网络标识理论方法、去中心化身份验证和授权机制等，增强网络传输的可信度；研究数据标识驱动的数据跨平台（中介）多跳协同架构，形成数据智能交互和分发能力；研究智能管控理论方法，实现网络、VNF、计算等资源的动态分配和管理。开展实验和技术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13. 大规模智算中心网络流量优化与调度技术研究（申请代码1选择F02的下属代码）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面向智算中心大规模RDMA流量高速无损传输需求，研究端网一体，光电协同的智算中心网络流量优化管控理论与方法；研究面向RDMA流量的拥塞控制理论方法，提高网络利用率和降低传输时延；研究智算中心内RDMA流量的特性，提出新型负载均衡理论方法，优化大规模RDMA流量在网络中的分布；开展实验和技术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14. 面向算力与数据互联的高性能广域网络研究（申请代码1选择F02的下属代码）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面向高通量算力与数据的复杂交互和传输需求，提出算力与数据融合的高性能传输机理模型，研究异构泛在广域无损数算融合传输机制；面向新型应用场景的海量数据高性能传输需求，研究自适应流量控制、端网协同传输、拥塞控制等传输协议优化模型；开展广域典型场景传输实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15. 新型互联网确定性组网与协议研究（申请代码1选择F02的下属代码）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面向工业控制、元宇宙&amp;XR等业务的低时延、低抖动传输需求，研究基于TSN、DetNet等技术的广域网确定性组网理论方法；研究时延队列调度、流量控制、资源预留等关键技术，满足跨域的端到端确定性承载需求，并进行仿真与实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16. 多场景全天时通导一体化融合服务关键技术（申请代码1选择 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基于5G、北斗和低轨卫星等关键系统的通导融合系统建模理论方法，建立时空信息统一的系统框架，研究动态自适应的融合定位技术，构建异构通信、导航、感知信息融合与评价体系，实现高可靠、多场景全天时通导融合服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17. 通用AIGC伪造内容检测方法及关键技术研究（申请代码1选择F06的下属代码）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针对AIGC类内容伪造技术发展迅猛的威胁，研究具备连续学习能力的通用AIGC伪造内容检测方法，探索AIGC内容与真实内容的特征边界，实现AIGC伪造内容检测模型的持续演化，形成对伪造文本、语音、图像、视频内容的持续鉴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18. 高效精准低复杂度的多模态大模型网络结构研究（申请代码1 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面向长序列输入友好的低复杂度多模态网络结构，探索高效率多模态特征精准的表示方法，实现新型多模态网络模型原型系统，解决当前多模态大模型输入长度受限、图像特征提取精度要求高、模型受训练窗口大小/分辨率的限制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19. 安全可信的高表现力语音生成大模型关键技术研究（申请代码1 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研究语音内容、韵律、音色和风格解耦的理论方法，实现具有上下文学习能力和高表现力的语音生成大模型，能够基于少样本或零样本数据生成高相似度、高表现力、情感可控的多语言合成语音；研究语音生成大模型的安全可信技术，在生成过程中实现价值观对齐，并为偏见和毒性检测提供安全可信的评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g0MTk3ZTQ5OTNiYWVhYWRkODk2M2MyZGFhZDQifQ=="/>
  </w:docVars>
  <w:rsids>
    <w:rsidRoot w:val="428E7484"/>
    <w:rsid w:val="428E7484"/>
    <w:rsid w:val="6708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2024-03-19T02:53:00Z</dcterms:created>
  <dc:creator>飘雪1380291462</dc:creator>
  <cp:lastModifiedBy>飘雪1380291462</cp:lastModifiedBy>
  <dcterms:modified xsi:type="dcterms:W3CDTF">2024-03-19T03:12:37Z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3EA2C94C1748464E9C41F935D9BCD637_11</vt:lpwstr>
  </property>
</Properties>
</file>